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F26BF">
      <w:pPr>
        <w:rPr>
          <w:rFonts w:hint="default"/>
          <w:lang w:val="fr-FR"/>
        </w:rPr>
      </w:pPr>
      <w:r>
        <w:rPr>
          <w:rFonts w:hint="default"/>
        </w:rPr>
        <w:t>La tique brune du chien (Rhipicephalus sanguineus) est répandue chez les canidés à Trinidad. Elle est directement (en provoquant une anémie) et indirectement (en agissant comme vecteur d'agents pathogènes transmis par les tiques) responsable de la morbidité et de la mortalité au sein de la population canine. Les acaricides commerciaux les plus couramment utilisés par les propriétaires d'animaux de compagnie à Trinidad sont l'amitraz et le fipronil. Souvent, ces acaricides sont utilisés de manière abusive et abusive dans une tentative désespérée de débarrasser les animaux des tiques. L'objectif de cette étude était de comparer l'efficacité de l'amitraz et du fipronil à celle d'une alternative végétale, le neem (Azadirachta indica). Français Des essais in vitro en triple utilisant le Larval Packet Test (LPT) ont été menés en utilisant trois concentrations (faible, recommandée et élevée) de fipronil (0,025 %, 0,05 % et 0,1 %), d'amitraz (0,01 %, 0,02 % et 1 %), d'huile de neem (10 %, 20 % et 40 %) et d'extrait de feuille de neem (0,25 %, 0,5 % et 2 %) pour chaque essai. L'analyse statistique utilisant l'analyse de régression de Poisson à effets mixtes a indiqué qu'il y avait une différence significative (p &lt; 0,05) dans la survie des tiques avant et après le traitement avec l'amitraz, le fipronil et tous les témoins par rapport à l'huile de neem. Le fipronil et l'amitraz ont causé une mortalité ≥ 99 % pour toutes les concentrations utilisées dans cette étude. Les taux de mortalité pour l'huile de neem et l'extrait de feuille de neem variaient respectivement de 72,7 % à 82 % et de 38 % à 95,3 %, les taux de mortalité les plus élevés se produisant aux concentrations les plus faibles. L'huile de neem et l'extrait de feuille de neem peuvent être utilisés comme acaricides alternatifs, mais ils sont moins efficaces contre la tique brune du chien que l'amitraze et le fipronil</w:t>
      </w:r>
      <w:r>
        <w:rPr>
          <w:rFonts w:hint="default"/>
          <w:lang w:val="fr-FR"/>
        </w:rPr>
        <w:t xml:space="preserve"> mais plus naturel.</w:t>
      </w:r>
    </w:p>
    <w:p w14:paraId="49202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left"/>
        <w:rPr>
          <w:rFonts w:hint="default" w:ascii="Arial" w:hAnsi="Arial" w:eastAsia="Arial" w:cs="Arial"/>
          <w:i w:val="0"/>
          <w:iCs w:val="0"/>
          <w:caps w:val="0"/>
          <w:color w:val="111111"/>
          <w:spacing w:val="0"/>
          <w:sz w:val="20"/>
          <w:szCs w:val="20"/>
        </w:rPr>
      </w:pPr>
      <w:r>
        <w:rPr>
          <w:rFonts w:hint="default" w:ascii="Arial" w:hAnsi="Arial" w:cs="Arial"/>
          <w:sz w:val="20"/>
          <w:szCs w:val="20"/>
          <w:lang w:val="fr-FR"/>
        </w:rPr>
        <w:t xml:space="preserve">Source : </w:t>
      </w:r>
      <w:r>
        <w:rPr>
          <w:rFonts w:hint="default" w:ascii="Arial" w:hAnsi="Arial" w:eastAsia="Arial" w:cs="Arial"/>
          <w:i w:val="0"/>
          <w:iCs w:val="0"/>
          <w:caps w:val="0"/>
          <w:color w:val="111111"/>
          <w:spacing w:val="0"/>
          <w:sz w:val="20"/>
          <w:szCs w:val="20"/>
          <w:bdr w:val="none" w:color="auto" w:sz="0" w:space="0"/>
          <w:shd w:val="clear" w:fill="FFFFFF"/>
        </w:rPr>
        <w:t>A comparison of the efficacy of two commercial acaricides (fipronil and amitraz) with Azadirachta indica (neem) on the brown dog tick (Rhipicephalus sanguineus) from canines in Trinidad</w:t>
      </w:r>
    </w:p>
    <w:p w14:paraId="014D4604">
      <w:pPr>
        <w:keepNext w:val="0"/>
        <w:keepLines w:val="0"/>
        <w:widowControl/>
        <w:suppressLineNumbers w:val="0"/>
        <w:jc w:val="left"/>
        <w:rPr>
          <w:rFonts w:hint="default" w:ascii="Arial" w:hAnsi="Arial" w:cs="Arial"/>
          <w:sz w:val="20"/>
          <w:szCs w:val="20"/>
        </w:rPr>
      </w:pPr>
      <w:bookmarkStart w:id="0" w:name="_GoBack"/>
      <w:bookmarkEnd w:id="0"/>
    </w:p>
    <w:p w14:paraId="5F8B9A75">
      <w:pPr>
        <w:keepNext w:val="0"/>
        <w:keepLines w:val="0"/>
        <w:widowControl/>
        <w:numPr>
          <w:ilvl w:val="0"/>
          <w:numId w:val="1"/>
        </w:numPr>
        <w:suppressLineNumbers w:val="0"/>
        <w:spacing w:before="0" w:beforeAutospacing="0" w:after="0" w:afterAutospacing="0" w:line="10" w:lineRule="atLeast"/>
        <w:ind w:left="0" w:hanging="360"/>
        <w:jc w:val="left"/>
        <w:rPr>
          <w:rFonts w:hint="default" w:ascii="Arial" w:hAnsi="Arial" w:cs="Arial"/>
          <w:sz w:val="20"/>
          <w:szCs w:val="20"/>
        </w:rPr>
      </w:pPr>
      <w:r>
        <w:rPr>
          <w:rFonts w:hint="default" w:ascii="Arial" w:hAnsi="Arial" w:eastAsia="Arial" w:cs="Arial"/>
          <w:i w:val="0"/>
          <w:iCs w:val="0"/>
          <w:caps w:val="0"/>
          <w:color w:val="555555"/>
          <w:spacing w:val="0"/>
          <w:sz w:val="20"/>
          <w:szCs w:val="20"/>
          <w:bdr w:val="none" w:color="auto" w:sz="0" w:space="0"/>
          <w:shd w:val="clear" w:fill="FFFFFF"/>
        </w:rPr>
        <w:t>November 2019</w:t>
      </w:r>
    </w:p>
    <w:p w14:paraId="3AB4CE81">
      <w:pPr>
        <w:keepNext w:val="0"/>
        <w:keepLines w:val="0"/>
        <w:widowControl/>
        <w:numPr>
          <w:ilvl w:val="0"/>
          <w:numId w:val="1"/>
        </w:numPr>
        <w:suppressLineNumbers w:val="0"/>
        <w:spacing w:before="0" w:beforeAutospacing="0" w:after="40" w:afterAutospacing="0" w:line="10" w:lineRule="atLeast"/>
        <w:ind w:left="0" w:hanging="360"/>
        <w:jc w:val="left"/>
        <w:rPr>
          <w:rFonts w:hint="default" w:ascii="Arial" w:hAnsi="Arial" w:cs="Arial"/>
          <w:sz w:val="20"/>
          <w:szCs w:val="20"/>
        </w:rPr>
      </w:pPr>
      <w:r>
        <w:rPr>
          <w:rFonts w:hint="default" w:ascii="Arial" w:hAnsi="Arial" w:eastAsia="Arial" w:cs="Arial"/>
          <w:i w:val="0"/>
          <w:iCs w:val="0"/>
          <w:caps w:val="0"/>
          <w:color w:val="555555"/>
          <w:spacing w:val="0"/>
          <w:sz w:val="20"/>
          <w:szCs w:val="20"/>
          <w:bdr w:val="none" w:color="auto" w:sz="0" w:space="0"/>
          <w:shd w:val="clear" w:fill="FFFFFF"/>
        </w:rPr>
        <w:t>67 Suppl 2(S2)</w:t>
      </w:r>
    </w:p>
    <w:p w14:paraId="17C9BCAE">
      <w:pPr>
        <w:keepNext w:val="0"/>
        <w:keepLines w:val="0"/>
        <w:widowControl/>
        <w:suppressLineNumbers w:val="0"/>
        <w:pBdr>
          <w:top w:val="none" w:color="auto" w:sz="0" w:space="0"/>
        </w:pBdr>
        <w:shd w:val="clear" w:fill="FFFFFF"/>
        <w:spacing w:before="0" w:beforeAutospacing="0" w:after="50" w:afterAutospacing="0" w:line="10" w:lineRule="atLeast"/>
        <w:ind w:left="0" w:firstLine="0"/>
        <w:jc w:val="left"/>
        <w:rPr>
          <w:rFonts w:hint="default" w:ascii="Arial" w:hAnsi="Arial" w:eastAsia="Arial" w:cs="Arial"/>
          <w:i w:val="0"/>
          <w:iCs w:val="0"/>
          <w:caps w:val="0"/>
          <w:color w:val="555555"/>
          <w:spacing w:val="0"/>
          <w:sz w:val="20"/>
          <w:szCs w:val="20"/>
        </w:rPr>
      </w:pPr>
      <w:r>
        <w:rPr>
          <w:rFonts w:hint="default" w:ascii="Arial" w:hAnsi="Arial" w:eastAsia="Arial" w:cs="Arial"/>
          <w:i w:val="0"/>
          <w:iCs w:val="0"/>
          <w:caps w:val="0"/>
          <w:color w:val="555555"/>
          <w:spacing w:val="0"/>
          <w:kern w:val="0"/>
          <w:sz w:val="20"/>
          <w:szCs w:val="20"/>
          <w:shd w:val="clear" w:fill="FFFFFF"/>
          <w:lang w:val="en-US" w:eastAsia="zh-CN" w:bidi="ar"/>
        </w:rPr>
        <w:t>DOI:</w:t>
      </w:r>
      <w:r>
        <w:rPr>
          <w:rFonts w:hint="default" w:ascii="Arial" w:hAnsi="Arial" w:eastAsia="Arial" w:cs="Arial"/>
          <w:i w:val="0"/>
          <w:iCs w:val="0"/>
          <w:caps w:val="0"/>
          <w:spacing w:val="0"/>
          <w:kern w:val="0"/>
          <w:sz w:val="20"/>
          <w:szCs w:val="20"/>
          <w:u w:val="single"/>
          <w:bdr w:val="none" w:color="auto" w:sz="0" w:space="0"/>
          <w:shd w:val="clear" w:fill="FFFFFF"/>
          <w:lang w:val="en-US" w:eastAsia="zh-CN" w:bidi="ar"/>
        </w:rPr>
        <w:fldChar w:fldCharType="begin"/>
      </w:r>
      <w:r>
        <w:rPr>
          <w:rFonts w:hint="default" w:ascii="Arial" w:hAnsi="Arial" w:eastAsia="Arial" w:cs="Arial"/>
          <w:i w:val="0"/>
          <w:iCs w:val="0"/>
          <w:caps w:val="0"/>
          <w:spacing w:val="0"/>
          <w:kern w:val="0"/>
          <w:sz w:val="20"/>
          <w:szCs w:val="20"/>
          <w:u w:val="single"/>
          <w:bdr w:val="none" w:color="auto" w:sz="0" w:space="0"/>
          <w:shd w:val="clear" w:fill="FFFFFF"/>
          <w:lang w:val="en-US" w:eastAsia="zh-CN" w:bidi="ar"/>
        </w:rPr>
        <w:instrText xml:space="preserve"> HYPERLINK "http://dx.doi.org/10.1111/tbed.13388" \t "https://www.researchgate.net/publication/_blank" </w:instrText>
      </w:r>
      <w:r>
        <w:rPr>
          <w:rFonts w:hint="default" w:ascii="Arial" w:hAnsi="Arial" w:eastAsia="Arial" w:cs="Arial"/>
          <w:i w:val="0"/>
          <w:iCs w:val="0"/>
          <w:caps w:val="0"/>
          <w:spacing w:val="0"/>
          <w:kern w:val="0"/>
          <w:sz w:val="20"/>
          <w:szCs w:val="20"/>
          <w:u w:val="single"/>
          <w:bdr w:val="none" w:color="auto" w:sz="0" w:space="0"/>
          <w:shd w:val="clear" w:fill="FFFFFF"/>
          <w:lang w:val="en-US" w:eastAsia="zh-CN" w:bidi="ar"/>
        </w:rPr>
        <w:fldChar w:fldCharType="separate"/>
      </w:r>
      <w:r>
        <w:rPr>
          <w:rStyle w:val="4"/>
          <w:rFonts w:hint="default" w:ascii="Arial" w:hAnsi="Arial" w:eastAsia="Arial" w:cs="Arial"/>
          <w:i w:val="0"/>
          <w:iCs w:val="0"/>
          <w:caps w:val="0"/>
          <w:spacing w:val="0"/>
          <w:sz w:val="20"/>
          <w:szCs w:val="20"/>
          <w:u w:val="single"/>
          <w:bdr w:val="none" w:color="auto" w:sz="0" w:space="0"/>
          <w:shd w:val="clear" w:fill="FFFFFF"/>
        </w:rPr>
        <w:t>10.1111/tbed.13388</w:t>
      </w:r>
      <w:r>
        <w:rPr>
          <w:rFonts w:hint="default" w:ascii="Arial" w:hAnsi="Arial" w:eastAsia="Arial" w:cs="Arial"/>
          <w:i w:val="0"/>
          <w:iCs w:val="0"/>
          <w:caps w:val="0"/>
          <w:spacing w:val="0"/>
          <w:kern w:val="0"/>
          <w:sz w:val="20"/>
          <w:szCs w:val="20"/>
          <w:u w:val="single"/>
          <w:bdr w:val="none" w:color="auto" w:sz="0" w:space="0"/>
          <w:shd w:val="clear" w:fill="FFFFFF"/>
          <w:lang w:val="en-US" w:eastAsia="zh-CN" w:bidi="ar"/>
        </w:rPr>
        <w:fldChar w:fldCharType="end"/>
      </w:r>
    </w:p>
    <w:p w14:paraId="1F9C95B9">
      <w:pPr>
        <w:rPr>
          <w:rFonts w:hint="default"/>
          <w:lang w:val="fr-F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5AE0A"/>
    <w:multiLevelType w:val="multilevel"/>
    <w:tmpl w:val="EAF5AE0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4333E"/>
    <w:rsid w:val="2244333E"/>
    <w:rsid w:val="33FD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2025-07-21T15:51:00Z</dcterms:created>
  <dc:creator>yanni</dc:creator>
  <cp:lastModifiedBy>Yannick GILGER</cp:lastModifiedBy>
  <dcterms:modified xsi:type="dcterms:W3CDTF">2025-07-21T15:56:03Z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3084-12.2.0.21936</vt:lpwstr>
  </property>
  <property fmtid="{D5CDD505-2E9C-101B-9397-08002B2CF9AE}" pid="3" name="ICV">
    <vt:lpwstr>613EA35453AF424FB29AF652485827B0_11</vt:lpwstr>
  </property>
</Properties>
</file>